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35A0" w14:textId="6F52C76A" w:rsidR="00D80B4F" w:rsidRDefault="00AD7AF0">
      <w:pPr>
        <w:rPr>
          <w:rFonts w:ascii="Arial" w:hAnsi="Arial" w:cs="Arial"/>
          <w:b/>
          <w:bCs/>
          <w:sz w:val="24"/>
          <w:szCs w:val="24"/>
        </w:rPr>
      </w:pPr>
      <w:r w:rsidRPr="00AD7AF0">
        <w:rPr>
          <w:rFonts w:ascii="Arial" w:hAnsi="Arial" w:cs="Arial"/>
          <w:b/>
          <w:bCs/>
          <w:sz w:val="24"/>
          <w:szCs w:val="24"/>
        </w:rPr>
        <w:t xml:space="preserve">London Borough of Harrow – Gender Pay Gap Report </w:t>
      </w:r>
    </w:p>
    <w:p w14:paraId="69ADCAC9" w14:textId="77777777" w:rsidR="00D704F8" w:rsidRPr="00AD7AF0" w:rsidRDefault="00D704F8">
      <w:pPr>
        <w:rPr>
          <w:rFonts w:ascii="Arial" w:hAnsi="Arial" w:cs="Arial"/>
          <w:b/>
          <w:bCs/>
          <w:sz w:val="24"/>
          <w:szCs w:val="24"/>
        </w:rPr>
      </w:pPr>
    </w:p>
    <w:p w14:paraId="3C914B7D" w14:textId="6EB3A081" w:rsidR="00AD7AF0" w:rsidRPr="00AD7AF0" w:rsidRDefault="00AD7AF0">
      <w:pPr>
        <w:rPr>
          <w:rFonts w:ascii="Arial" w:hAnsi="Arial" w:cs="Arial"/>
          <w:sz w:val="24"/>
          <w:szCs w:val="24"/>
        </w:rPr>
      </w:pPr>
      <w:r w:rsidRPr="00AD7AF0">
        <w:rPr>
          <w:rFonts w:ascii="Arial" w:hAnsi="Arial" w:cs="Arial"/>
          <w:sz w:val="24"/>
          <w:szCs w:val="24"/>
        </w:rPr>
        <w:t xml:space="preserve">The Equality Act 2010 (Specific Duties and Public Authorities) Regulations 2017 means that employers with 250 or more employees are required to publish statutory gender pay gap calculations every year. </w:t>
      </w:r>
    </w:p>
    <w:p w14:paraId="02FD20D5" w14:textId="77777777" w:rsidR="00AD7AF0" w:rsidRPr="00AD7AF0" w:rsidRDefault="00AD7AF0" w:rsidP="00AD7AF0">
      <w:pPr>
        <w:rPr>
          <w:rFonts w:ascii="Arial" w:hAnsi="Arial" w:cs="Arial"/>
          <w:sz w:val="24"/>
          <w:szCs w:val="24"/>
        </w:rPr>
      </w:pPr>
      <w:r w:rsidRPr="00AD7AF0">
        <w:rPr>
          <w:rFonts w:ascii="Arial" w:hAnsi="Arial" w:cs="Arial"/>
          <w:sz w:val="24"/>
          <w:szCs w:val="24"/>
        </w:rPr>
        <w:t xml:space="preserve">We are required to calculate the following gender pay data: </w:t>
      </w:r>
    </w:p>
    <w:p w14:paraId="43E14380" w14:textId="5623B3F6" w:rsidR="00AD7AF0" w:rsidRPr="00AD7AF0" w:rsidRDefault="00AD7AF0" w:rsidP="00AD7A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7AF0">
        <w:rPr>
          <w:rFonts w:ascii="Arial" w:hAnsi="Arial" w:cs="Arial"/>
          <w:sz w:val="24"/>
          <w:szCs w:val="24"/>
        </w:rPr>
        <w:t xml:space="preserve">Gender </w:t>
      </w:r>
      <w:proofErr w:type="gramStart"/>
      <w:r w:rsidRPr="00AD7AF0">
        <w:rPr>
          <w:rFonts w:ascii="Arial" w:hAnsi="Arial" w:cs="Arial"/>
          <w:sz w:val="24"/>
          <w:szCs w:val="24"/>
        </w:rPr>
        <w:t>pay</w:t>
      </w:r>
      <w:proofErr w:type="gramEnd"/>
      <w:r w:rsidRPr="00AD7AF0">
        <w:rPr>
          <w:rFonts w:ascii="Arial" w:hAnsi="Arial" w:cs="Arial"/>
          <w:sz w:val="24"/>
          <w:szCs w:val="24"/>
        </w:rPr>
        <w:t xml:space="preserve"> gap (mean and median values)</w:t>
      </w:r>
    </w:p>
    <w:p w14:paraId="4E89520C" w14:textId="41D35BBB" w:rsidR="00AD7AF0" w:rsidRPr="00AD7AF0" w:rsidRDefault="00AD7AF0" w:rsidP="00AD7A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7AF0">
        <w:rPr>
          <w:rFonts w:ascii="Arial" w:hAnsi="Arial" w:cs="Arial"/>
          <w:sz w:val="24"/>
          <w:szCs w:val="24"/>
        </w:rPr>
        <w:t>Proportion of men and women receiving bonuses</w:t>
      </w:r>
    </w:p>
    <w:p w14:paraId="4A8209B7" w14:textId="11669396" w:rsidR="00AD7AF0" w:rsidRPr="00AD7AF0" w:rsidRDefault="00AD7AF0" w:rsidP="00AD7A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7AF0">
        <w:rPr>
          <w:rFonts w:ascii="Arial" w:hAnsi="Arial" w:cs="Arial"/>
          <w:sz w:val="24"/>
          <w:szCs w:val="24"/>
        </w:rPr>
        <w:t>Proportion of men and women in each quartile of the organisation’s pay structure</w:t>
      </w:r>
    </w:p>
    <w:p w14:paraId="7D7438CA" w14:textId="375DF3CA" w:rsidR="00AD7AF0" w:rsidRPr="00AD7AF0" w:rsidRDefault="00AD7AF0">
      <w:pPr>
        <w:rPr>
          <w:rFonts w:ascii="Arial" w:hAnsi="Arial" w:cs="Arial"/>
          <w:b/>
          <w:bCs/>
          <w:sz w:val="24"/>
          <w:szCs w:val="24"/>
        </w:rPr>
      </w:pPr>
      <w:r w:rsidRPr="00AD7AF0">
        <w:rPr>
          <w:rFonts w:ascii="Arial" w:hAnsi="Arial" w:cs="Arial"/>
          <w:b/>
          <w:bCs/>
          <w:sz w:val="24"/>
          <w:szCs w:val="24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7AF0" w:rsidRPr="00AD7AF0" w14:paraId="1CF25655" w14:textId="77777777" w:rsidTr="004C568E">
        <w:tc>
          <w:tcPr>
            <w:tcW w:w="9016" w:type="dxa"/>
            <w:gridSpan w:val="3"/>
          </w:tcPr>
          <w:p w14:paraId="45A31891" w14:textId="5EB20762" w:rsidR="00AD7AF0" w:rsidRPr="00AD7AF0" w:rsidRDefault="00AD7A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AF0">
              <w:rPr>
                <w:rFonts w:ascii="Arial" w:hAnsi="Arial" w:cs="Arial"/>
                <w:b/>
                <w:bCs/>
                <w:sz w:val="24"/>
                <w:szCs w:val="24"/>
              </w:rPr>
              <w:t>Harrow Gender Pay Gap Data Snapshot date: 31 March 2023</w:t>
            </w:r>
          </w:p>
        </w:tc>
      </w:tr>
      <w:tr w:rsidR="00AD7AF0" w:rsidRPr="00AD7AF0" w14:paraId="4E72AD29" w14:textId="77777777" w:rsidTr="00AD7AF0">
        <w:tc>
          <w:tcPr>
            <w:tcW w:w="3005" w:type="dxa"/>
          </w:tcPr>
          <w:p w14:paraId="55BC17CD" w14:textId="24CFE0E5" w:rsidR="00AD7AF0" w:rsidRPr="00AD7AF0" w:rsidRDefault="00AD7AF0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Hourly Rate</w:t>
            </w:r>
          </w:p>
        </w:tc>
        <w:tc>
          <w:tcPr>
            <w:tcW w:w="3005" w:type="dxa"/>
          </w:tcPr>
          <w:p w14:paraId="2BE9F7F4" w14:textId="0F77F05D" w:rsidR="00AD7AF0" w:rsidRPr="00AD7AF0" w:rsidRDefault="00AD7AF0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3006" w:type="dxa"/>
          </w:tcPr>
          <w:p w14:paraId="49DA155F" w14:textId="0F19695F" w:rsidR="00AD7AF0" w:rsidRPr="00AD7AF0" w:rsidRDefault="00AD7AF0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Median</w:t>
            </w:r>
          </w:p>
        </w:tc>
      </w:tr>
      <w:tr w:rsidR="00AD7AF0" w:rsidRPr="00AD7AF0" w14:paraId="2D0B0C57" w14:textId="77777777" w:rsidTr="00AD7AF0">
        <w:tc>
          <w:tcPr>
            <w:tcW w:w="3005" w:type="dxa"/>
          </w:tcPr>
          <w:p w14:paraId="08BA3040" w14:textId="6F5903C2" w:rsidR="00AD7AF0" w:rsidRPr="00AD7AF0" w:rsidRDefault="00AD7AF0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 xml:space="preserve">Women’s hourly rate is </w:t>
            </w:r>
          </w:p>
        </w:tc>
        <w:tc>
          <w:tcPr>
            <w:tcW w:w="3005" w:type="dxa"/>
          </w:tcPr>
          <w:p w14:paraId="69D9C357" w14:textId="751BC9BF" w:rsidR="00AD7AF0" w:rsidRPr="00AD7AF0" w:rsidRDefault="00AD7AF0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4.3% Higher</w:t>
            </w:r>
          </w:p>
        </w:tc>
        <w:tc>
          <w:tcPr>
            <w:tcW w:w="3006" w:type="dxa"/>
          </w:tcPr>
          <w:p w14:paraId="6227D45E" w14:textId="7013E7F0" w:rsidR="00AD7AF0" w:rsidRPr="00AD7AF0" w:rsidRDefault="00AD7AF0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 xml:space="preserve">5.2% Higher </w:t>
            </w:r>
          </w:p>
        </w:tc>
      </w:tr>
    </w:tbl>
    <w:p w14:paraId="09C11E3D" w14:textId="6ED214F6" w:rsidR="00AD7AF0" w:rsidRPr="00AD7AF0" w:rsidRDefault="00AD7AF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7AF0" w:rsidRPr="00AD7AF0" w14:paraId="0AD3C4DB" w14:textId="77777777" w:rsidTr="002A031C">
        <w:tc>
          <w:tcPr>
            <w:tcW w:w="3005" w:type="dxa"/>
          </w:tcPr>
          <w:p w14:paraId="6EFE3117" w14:textId="37FFE40A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Pay Quartiles</w:t>
            </w:r>
          </w:p>
        </w:tc>
        <w:tc>
          <w:tcPr>
            <w:tcW w:w="3005" w:type="dxa"/>
          </w:tcPr>
          <w:p w14:paraId="28AE378B" w14:textId="1A40F5D3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Men</w:t>
            </w:r>
          </w:p>
        </w:tc>
        <w:tc>
          <w:tcPr>
            <w:tcW w:w="3006" w:type="dxa"/>
          </w:tcPr>
          <w:p w14:paraId="3E959076" w14:textId="109E7933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Women</w:t>
            </w:r>
          </w:p>
        </w:tc>
      </w:tr>
      <w:tr w:rsidR="00AD7AF0" w:rsidRPr="00AD7AF0" w14:paraId="401A1CAF" w14:textId="77777777" w:rsidTr="002A031C">
        <w:tc>
          <w:tcPr>
            <w:tcW w:w="3005" w:type="dxa"/>
          </w:tcPr>
          <w:p w14:paraId="7933ABB2" w14:textId="42CA1BB6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Top Quartile</w:t>
            </w:r>
          </w:p>
        </w:tc>
        <w:tc>
          <w:tcPr>
            <w:tcW w:w="3005" w:type="dxa"/>
          </w:tcPr>
          <w:p w14:paraId="4E4EB6F6" w14:textId="23E9482C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35%</w:t>
            </w:r>
          </w:p>
        </w:tc>
        <w:tc>
          <w:tcPr>
            <w:tcW w:w="3006" w:type="dxa"/>
          </w:tcPr>
          <w:p w14:paraId="3CCDD967" w14:textId="4524E2C7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65%</w:t>
            </w:r>
          </w:p>
        </w:tc>
      </w:tr>
      <w:tr w:rsidR="00AD7AF0" w:rsidRPr="00AD7AF0" w14:paraId="781B6BB7" w14:textId="77777777" w:rsidTr="002A031C">
        <w:tc>
          <w:tcPr>
            <w:tcW w:w="3005" w:type="dxa"/>
          </w:tcPr>
          <w:p w14:paraId="31DBF548" w14:textId="2E49DB68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Upper Middle Quartile</w:t>
            </w:r>
          </w:p>
        </w:tc>
        <w:tc>
          <w:tcPr>
            <w:tcW w:w="3005" w:type="dxa"/>
          </w:tcPr>
          <w:p w14:paraId="5E5D9244" w14:textId="75EB8DA9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31%</w:t>
            </w:r>
          </w:p>
        </w:tc>
        <w:tc>
          <w:tcPr>
            <w:tcW w:w="3006" w:type="dxa"/>
          </w:tcPr>
          <w:p w14:paraId="46C113A5" w14:textId="5177C131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69%</w:t>
            </w:r>
          </w:p>
        </w:tc>
      </w:tr>
      <w:tr w:rsidR="00AD7AF0" w:rsidRPr="00AD7AF0" w14:paraId="11346055" w14:textId="77777777" w:rsidTr="002A031C">
        <w:tc>
          <w:tcPr>
            <w:tcW w:w="3005" w:type="dxa"/>
          </w:tcPr>
          <w:p w14:paraId="3B9D6803" w14:textId="6192A1AB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Lower Middle Quartile</w:t>
            </w:r>
          </w:p>
        </w:tc>
        <w:tc>
          <w:tcPr>
            <w:tcW w:w="3005" w:type="dxa"/>
          </w:tcPr>
          <w:p w14:paraId="20AC0831" w14:textId="1358278C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35%</w:t>
            </w:r>
          </w:p>
        </w:tc>
        <w:tc>
          <w:tcPr>
            <w:tcW w:w="3006" w:type="dxa"/>
          </w:tcPr>
          <w:p w14:paraId="02C3161F" w14:textId="09DC6AC2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65%</w:t>
            </w:r>
          </w:p>
        </w:tc>
      </w:tr>
      <w:tr w:rsidR="00AD7AF0" w:rsidRPr="00AD7AF0" w14:paraId="38606060" w14:textId="77777777" w:rsidTr="002A031C">
        <w:tc>
          <w:tcPr>
            <w:tcW w:w="3005" w:type="dxa"/>
          </w:tcPr>
          <w:p w14:paraId="05BC5A14" w14:textId="1E93AD12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 xml:space="preserve">Lower Quartile </w:t>
            </w:r>
          </w:p>
        </w:tc>
        <w:tc>
          <w:tcPr>
            <w:tcW w:w="3005" w:type="dxa"/>
          </w:tcPr>
          <w:p w14:paraId="25D8723B" w14:textId="5DFE35F4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51%</w:t>
            </w:r>
          </w:p>
        </w:tc>
        <w:tc>
          <w:tcPr>
            <w:tcW w:w="3006" w:type="dxa"/>
          </w:tcPr>
          <w:p w14:paraId="7BA3076A" w14:textId="41E84682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49%</w:t>
            </w:r>
          </w:p>
        </w:tc>
      </w:tr>
    </w:tbl>
    <w:p w14:paraId="414761B9" w14:textId="77777777" w:rsidR="00AD7AF0" w:rsidRPr="00AD7AF0" w:rsidRDefault="00AD7AF0">
      <w:pPr>
        <w:rPr>
          <w:rFonts w:ascii="Arial" w:hAnsi="Arial" w:cs="Arial"/>
          <w:sz w:val="24"/>
          <w:szCs w:val="24"/>
        </w:rPr>
      </w:pPr>
    </w:p>
    <w:p w14:paraId="5563E364" w14:textId="2AD407FF" w:rsidR="00AD7AF0" w:rsidRPr="00AD7AF0" w:rsidRDefault="00AD7AF0">
      <w:pPr>
        <w:rPr>
          <w:rFonts w:ascii="Arial" w:hAnsi="Arial" w:cs="Arial"/>
          <w:sz w:val="24"/>
          <w:szCs w:val="24"/>
        </w:rPr>
      </w:pPr>
      <w:r w:rsidRPr="00AD7AF0">
        <w:rPr>
          <w:rFonts w:ascii="Arial" w:hAnsi="Arial" w:cs="Arial"/>
          <w:sz w:val="24"/>
          <w:szCs w:val="24"/>
        </w:rPr>
        <w:t>Notes:</w:t>
      </w:r>
    </w:p>
    <w:p w14:paraId="713DC52F" w14:textId="79799867" w:rsidR="00AD7AF0" w:rsidRPr="00AD7AF0" w:rsidRDefault="00AD7AF0" w:rsidP="00AD7AF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7AF0">
        <w:rPr>
          <w:rFonts w:ascii="Arial" w:hAnsi="Arial" w:cs="Arial"/>
          <w:sz w:val="24"/>
          <w:szCs w:val="24"/>
        </w:rPr>
        <w:t xml:space="preserve">The council does not operate a bonus scheme. </w:t>
      </w:r>
    </w:p>
    <w:p w14:paraId="54640B9D" w14:textId="2B9EDB79" w:rsidR="00AD7AF0" w:rsidRPr="00AD7AF0" w:rsidRDefault="00AD7AF0" w:rsidP="00AD7AF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7AF0">
        <w:rPr>
          <w:rFonts w:ascii="Arial" w:hAnsi="Arial" w:cs="Arial"/>
          <w:sz w:val="24"/>
          <w:szCs w:val="24"/>
        </w:rPr>
        <w:t xml:space="preserve">On the snapshot date of 31 March 2023, </w:t>
      </w:r>
      <w:r w:rsidRPr="00AD7AF0">
        <w:rPr>
          <w:rFonts w:ascii="Arial" w:hAnsi="Arial" w:cs="Arial"/>
          <w:sz w:val="24"/>
          <w:szCs w:val="24"/>
        </w:rPr>
        <w:t>1,981 people actively work</w:t>
      </w:r>
      <w:r w:rsidRPr="00AD7AF0">
        <w:rPr>
          <w:rFonts w:ascii="Arial" w:hAnsi="Arial" w:cs="Arial"/>
          <w:sz w:val="24"/>
          <w:szCs w:val="24"/>
        </w:rPr>
        <w:t xml:space="preserve">ed for the </w:t>
      </w:r>
      <w:r w:rsidRPr="00AD7AF0">
        <w:rPr>
          <w:rFonts w:ascii="Arial" w:hAnsi="Arial" w:cs="Arial"/>
          <w:sz w:val="24"/>
          <w:szCs w:val="24"/>
        </w:rPr>
        <w:t xml:space="preserve">London Borough of Harrow. This figure does not include </w:t>
      </w:r>
      <w:r w:rsidRPr="00AD7AF0">
        <w:rPr>
          <w:rFonts w:ascii="Arial" w:hAnsi="Arial" w:cs="Arial"/>
          <w:sz w:val="24"/>
          <w:szCs w:val="24"/>
        </w:rPr>
        <w:t xml:space="preserve">school employees. Of the 1,981 people 1,227 (62%) were female and 754 (38%) were male. </w:t>
      </w:r>
    </w:p>
    <w:sectPr w:rsidR="00AD7AF0" w:rsidRPr="00AD7AF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9CA0" w14:textId="77777777" w:rsidR="00AD7AF0" w:rsidRDefault="00AD7AF0" w:rsidP="00AD7AF0">
      <w:pPr>
        <w:spacing w:after="0" w:line="240" w:lineRule="auto"/>
      </w:pPr>
      <w:r>
        <w:separator/>
      </w:r>
    </w:p>
  </w:endnote>
  <w:endnote w:type="continuationSeparator" w:id="0">
    <w:p w14:paraId="183B1769" w14:textId="77777777" w:rsidR="00AD7AF0" w:rsidRDefault="00AD7AF0" w:rsidP="00AD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327713"/>
      <w:docPartObj>
        <w:docPartGallery w:val="Page Numbers (Bottom of Page)"/>
        <w:docPartUnique/>
      </w:docPartObj>
    </w:sdtPr>
    <w:sdtContent>
      <w:p w14:paraId="3A859FD1" w14:textId="5C03B55F" w:rsidR="00AD7AF0" w:rsidRDefault="00AD7AF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C076C2" w14:textId="77777777" w:rsidR="00AD7AF0" w:rsidRDefault="00AD7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6C41" w14:textId="77777777" w:rsidR="00AD7AF0" w:rsidRDefault="00AD7AF0" w:rsidP="00AD7AF0">
      <w:pPr>
        <w:spacing w:after="0" w:line="240" w:lineRule="auto"/>
      </w:pPr>
      <w:r>
        <w:separator/>
      </w:r>
    </w:p>
  </w:footnote>
  <w:footnote w:type="continuationSeparator" w:id="0">
    <w:p w14:paraId="6C44D385" w14:textId="77777777" w:rsidR="00AD7AF0" w:rsidRDefault="00AD7AF0" w:rsidP="00AD7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096E"/>
    <w:multiLevelType w:val="hybridMultilevel"/>
    <w:tmpl w:val="5B5C4E0C"/>
    <w:lvl w:ilvl="0" w:tplc="A48278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36EBD"/>
    <w:multiLevelType w:val="hybridMultilevel"/>
    <w:tmpl w:val="168C7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D7A21"/>
    <w:multiLevelType w:val="hybridMultilevel"/>
    <w:tmpl w:val="B3FEB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33741">
    <w:abstractNumId w:val="1"/>
  </w:num>
  <w:num w:numId="2" w16cid:durableId="1269964576">
    <w:abstractNumId w:val="0"/>
  </w:num>
  <w:num w:numId="3" w16cid:durableId="1778254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F0"/>
    <w:rsid w:val="004F7E81"/>
    <w:rsid w:val="00AD7AF0"/>
    <w:rsid w:val="00D704F8"/>
    <w:rsid w:val="00D8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36E5A"/>
  <w15:chartTrackingRefBased/>
  <w15:docId w15:val="{68132155-BB26-4F6D-A08F-F34268D3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AF0"/>
    <w:pPr>
      <w:ind w:left="720"/>
      <w:contextualSpacing/>
    </w:pPr>
  </w:style>
  <w:style w:type="table" w:styleId="TableGrid">
    <w:name w:val="Table Grid"/>
    <w:basedOn w:val="TableNormal"/>
    <w:uiPriority w:val="39"/>
    <w:rsid w:val="00A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7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AF0"/>
  </w:style>
  <w:style w:type="paragraph" w:styleId="Footer">
    <w:name w:val="footer"/>
    <w:basedOn w:val="Normal"/>
    <w:link w:val="FooterChar"/>
    <w:uiPriority w:val="99"/>
    <w:unhideWhenUsed/>
    <w:rsid w:val="00AD7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858</Characters>
  <Application>Microsoft Office Word</Application>
  <DocSecurity>0</DocSecurity>
  <Lines>40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 Wilson</dc:creator>
  <cp:keywords/>
  <dc:description/>
  <cp:lastModifiedBy>Akhil Wilson</cp:lastModifiedBy>
  <cp:revision>1</cp:revision>
  <cp:lastPrinted>2024-03-25T16:34:00Z</cp:lastPrinted>
  <dcterms:created xsi:type="dcterms:W3CDTF">2024-03-25T16:24:00Z</dcterms:created>
  <dcterms:modified xsi:type="dcterms:W3CDTF">2024-03-25T16:34:00Z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5ac0f93d-a3ef-4676-91c4-14dd7a1518e6</vt:lpwstr>
  </property>
</Properties>
</file>