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35A0" w14:textId="6F52C76A" w:rsidR="00D80B4F" w:rsidRDefault="00AD7AF0">
      <w:pPr>
        <w:rPr>
          <w:rFonts w:ascii="Arial" w:hAnsi="Arial" w:cs="Arial"/>
          <w:b/>
          <w:bCs/>
          <w:sz w:val="24"/>
          <w:szCs w:val="24"/>
        </w:rPr>
      </w:pPr>
      <w:r w:rsidRPr="00AD7AF0">
        <w:rPr>
          <w:rFonts w:ascii="Arial" w:hAnsi="Arial" w:cs="Arial"/>
          <w:b/>
          <w:bCs/>
          <w:sz w:val="24"/>
          <w:szCs w:val="24"/>
        </w:rPr>
        <w:t xml:space="preserve">London Borough of Harrow – Gender Pay Gap Report </w:t>
      </w:r>
    </w:p>
    <w:p w14:paraId="69ADCAC9" w14:textId="77777777" w:rsidR="00D704F8" w:rsidRPr="00AD7AF0" w:rsidRDefault="00D704F8">
      <w:pPr>
        <w:rPr>
          <w:rFonts w:ascii="Arial" w:hAnsi="Arial" w:cs="Arial"/>
          <w:b/>
          <w:bCs/>
          <w:sz w:val="24"/>
          <w:szCs w:val="24"/>
        </w:rPr>
      </w:pPr>
    </w:p>
    <w:p w14:paraId="3C914B7D" w14:textId="6EB3A081" w:rsidR="00AD7AF0" w:rsidRPr="00AD7AF0" w:rsidRDefault="00AD7AF0">
      <w:p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The Equality Act 2010 (Specific Duties and Public Authorities) Regulations 2017 means that employers with 250 or more employees are required to publish statutory gender pay gap calculations every year. </w:t>
      </w:r>
    </w:p>
    <w:p w14:paraId="02FD20D5" w14:textId="77777777" w:rsidR="00AD7AF0" w:rsidRPr="00AD7AF0" w:rsidRDefault="00AD7AF0" w:rsidP="00AD7AF0">
      <w:p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We are required to calculate the following gender pay data: </w:t>
      </w:r>
    </w:p>
    <w:p w14:paraId="43E14380" w14:textId="5623B3F6" w:rsidR="00AD7AF0" w:rsidRPr="00AD7AF0" w:rsidRDefault="00AD7AF0" w:rsidP="00AD7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Gender </w:t>
      </w:r>
      <w:proofErr w:type="gramStart"/>
      <w:r w:rsidRPr="00AD7AF0">
        <w:rPr>
          <w:rFonts w:ascii="Arial" w:hAnsi="Arial" w:cs="Arial"/>
          <w:sz w:val="24"/>
          <w:szCs w:val="24"/>
        </w:rPr>
        <w:t>pay</w:t>
      </w:r>
      <w:proofErr w:type="gramEnd"/>
      <w:r w:rsidRPr="00AD7AF0">
        <w:rPr>
          <w:rFonts w:ascii="Arial" w:hAnsi="Arial" w:cs="Arial"/>
          <w:sz w:val="24"/>
          <w:szCs w:val="24"/>
        </w:rPr>
        <w:t xml:space="preserve"> gap (mean and median values)</w:t>
      </w:r>
    </w:p>
    <w:p w14:paraId="4E89520C" w14:textId="41D35BBB" w:rsidR="00AD7AF0" w:rsidRPr="00AD7AF0" w:rsidRDefault="00AD7AF0" w:rsidP="00AD7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Proportion of men and women receiving bonuses</w:t>
      </w:r>
    </w:p>
    <w:p w14:paraId="4A8209B7" w14:textId="11669396" w:rsidR="00AD7AF0" w:rsidRPr="00AD7AF0" w:rsidRDefault="00AD7AF0" w:rsidP="00AD7A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Proportion of men and women in each quartile of the organisation’s pay structure</w:t>
      </w:r>
    </w:p>
    <w:p w14:paraId="7D7438CA" w14:textId="375DF3CA" w:rsidR="00AD7AF0" w:rsidRPr="00AD7AF0" w:rsidRDefault="00AD7AF0">
      <w:pPr>
        <w:rPr>
          <w:rFonts w:ascii="Arial" w:hAnsi="Arial" w:cs="Arial"/>
          <w:b/>
          <w:bCs/>
          <w:sz w:val="24"/>
          <w:szCs w:val="24"/>
        </w:rPr>
      </w:pPr>
      <w:r w:rsidRPr="00AD7AF0">
        <w:rPr>
          <w:rFonts w:ascii="Arial" w:hAnsi="Arial" w:cs="Arial"/>
          <w:b/>
          <w:bCs/>
          <w:sz w:val="24"/>
          <w:szCs w:val="24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7AF0" w:rsidRPr="00AD7AF0" w14:paraId="1CF25655" w14:textId="77777777" w:rsidTr="004C568E">
        <w:tc>
          <w:tcPr>
            <w:tcW w:w="9016" w:type="dxa"/>
            <w:gridSpan w:val="3"/>
          </w:tcPr>
          <w:p w14:paraId="45A31891" w14:textId="7D30FDCC" w:rsidR="00AD7AF0" w:rsidRPr="00AD7AF0" w:rsidRDefault="00AD7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AF0">
              <w:rPr>
                <w:rFonts w:ascii="Arial" w:hAnsi="Arial" w:cs="Arial"/>
                <w:b/>
                <w:bCs/>
                <w:sz w:val="24"/>
                <w:szCs w:val="24"/>
              </w:rPr>
              <w:t>Harrow Gender Pay Gap Data Snapshot date: 31 March 202</w:t>
            </w:r>
            <w:r w:rsidR="00EF642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D7AF0" w:rsidRPr="00AD7AF0" w14:paraId="4E72AD29" w14:textId="77777777" w:rsidTr="00AD7AF0">
        <w:tc>
          <w:tcPr>
            <w:tcW w:w="3005" w:type="dxa"/>
          </w:tcPr>
          <w:p w14:paraId="55BC17CD" w14:textId="24CFE0E5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Hourly Rate</w:t>
            </w:r>
          </w:p>
        </w:tc>
        <w:tc>
          <w:tcPr>
            <w:tcW w:w="3005" w:type="dxa"/>
          </w:tcPr>
          <w:p w14:paraId="2BE9F7F4" w14:textId="0F77F05D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3006" w:type="dxa"/>
          </w:tcPr>
          <w:p w14:paraId="49DA155F" w14:textId="0F19695F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</w:tr>
      <w:tr w:rsidR="00AD7AF0" w:rsidRPr="00AD7AF0" w14:paraId="2D0B0C57" w14:textId="77777777" w:rsidTr="00AD7AF0">
        <w:tc>
          <w:tcPr>
            <w:tcW w:w="3005" w:type="dxa"/>
          </w:tcPr>
          <w:p w14:paraId="08BA3040" w14:textId="6F5903C2" w:rsidR="00AD7AF0" w:rsidRPr="00AD7AF0" w:rsidRDefault="00AD7AF0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 xml:space="preserve">Women’s hourly rate is </w:t>
            </w:r>
          </w:p>
        </w:tc>
        <w:tc>
          <w:tcPr>
            <w:tcW w:w="3005" w:type="dxa"/>
          </w:tcPr>
          <w:p w14:paraId="69D9C357" w14:textId="639568C8" w:rsidR="00AD7AF0" w:rsidRPr="00AD7AF0" w:rsidRDefault="00EF6423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D7AF0" w:rsidRPr="00AD7AF0">
              <w:rPr>
                <w:rFonts w:ascii="Arial" w:hAnsi="Arial" w:cs="Arial"/>
                <w:sz w:val="24"/>
                <w:szCs w:val="24"/>
              </w:rPr>
              <w:t>3% Higher</w:t>
            </w:r>
          </w:p>
        </w:tc>
        <w:tc>
          <w:tcPr>
            <w:tcW w:w="3006" w:type="dxa"/>
          </w:tcPr>
          <w:p w14:paraId="6227D45E" w14:textId="6B1BE9DE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 xml:space="preserve">5% Higher </w:t>
            </w:r>
          </w:p>
        </w:tc>
      </w:tr>
    </w:tbl>
    <w:p w14:paraId="09C11E3D" w14:textId="6ED214F6" w:rsidR="00AD7AF0" w:rsidRPr="00AD7AF0" w:rsidRDefault="00AD7A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7AF0" w:rsidRPr="00AD7AF0" w14:paraId="0AD3C4DB" w14:textId="77777777" w:rsidTr="002A031C">
        <w:tc>
          <w:tcPr>
            <w:tcW w:w="3005" w:type="dxa"/>
          </w:tcPr>
          <w:p w14:paraId="6EFE3117" w14:textId="37FFE40A" w:rsidR="00AD7AF0" w:rsidRPr="00350E2F" w:rsidRDefault="00AD7AF0" w:rsidP="002A03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E2F">
              <w:rPr>
                <w:rFonts w:ascii="Arial" w:hAnsi="Arial" w:cs="Arial"/>
                <w:b/>
                <w:bCs/>
                <w:sz w:val="24"/>
                <w:szCs w:val="24"/>
              </w:rPr>
              <w:t>Pay Quartiles</w:t>
            </w:r>
          </w:p>
        </w:tc>
        <w:tc>
          <w:tcPr>
            <w:tcW w:w="3005" w:type="dxa"/>
          </w:tcPr>
          <w:p w14:paraId="28AE378B" w14:textId="1A40F5D3" w:rsidR="00AD7AF0" w:rsidRPr="00350E2F" w:rsidRDefault="00AD7AF0" w:rsidP="00350E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E2F">
              <w:rPr>
                <w:rFonts w:ascii="Arial" w:hAnsi="Arial" w:cs="Arial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3006" w:type="dxa"/>
          </w:tcPr>
          <w:p w14:paraId="3E959076" w14:textId="109E7933" w:rsidR="00AD7AF0" w:rsidRPr="00350E2F" w:rsidRDefault="00AD7AF0" w:rsidP="00350E2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E2F">
              <w:rPr>
                <w:rFonts w:ascii="Arial" w:hAnsi="Arial" w:cs="Arial"/>
                <w:b/>
                <w:bCs/>
                <w:sz w:val="24"/>
                <w:szCs w:val="24"/>
              </w:rPr>
              <w:t>Women</w:t>
            </w:r>
          </w:p>
        </w:tc>
      </w:tr>
      <w:tr w:rsidR="00AD7AF0" w:rsidRPr="00AD7AF0" w14:paraId="401A1CAF" w14:textId="77777777" w:rsidTr="002A031C">
        <w:tc>
          <w:tcPr>
            <w:tcW w:w="3005" w:type="dxa"/>
          </w:tcPr>
          <w:p w14:paraId="7933ABB2" w14:textId="42CA1BB6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Top Quartile</w:t>
            </w:r>
          </w:p>
        </w:tc>
        <w:tc>
          <w:tcPr>
            <w:tcW w:w="3005" w:type="dxa"/>
          </w:tcPr>
          <w:p w14:paraId="4E4EB6F6" w14:textId="60710B11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3</w:t>
            </w:r>
            <w:r w:rsidR="00EF6423">
              <w:rPr>
                <w:rFonts w:ascii="Arial" w:hAnsi="Arial" w:cs="Arial"/>
                <w:sz w:val="24"/>
                <w:szCs w:val="24"/>
              </w:rPr>
              <w:t>9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14:paraId="3CCDD967" w14:textId="1D8FE645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6</w:t>
            </w:r>
            <w:r w:rsidR="00EF6423">
              <w:rPr>
                <w:rFonts w:ascii="Arial" w:hAnsi="Arial" w:cs="Arial"/>
                <w:sz w:val="24"/>
                <w:szCs w:val="24"/>
              </w:rPr>
              <w:t>1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D7AF0" w:rsidRPr="00AD7AF0" w14:paraId="781B6BB7" w14:textId="77777777" w:rsidTr="002A031C">
        <w:tc>
          <w:tcPr>
            <w:tcW w:w="3005" w:type="dxa"/>
          </w:tcPr>
          <w:p w14:paraId="31DBF548" w14:textId="2E49DB68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Upper Middle Quartile</w:t>
            </w:r>
          </w:p>
        </w:tc>
        <w:tc>
          <w:tcPr>
            <w:tcW w:w="3005" w:type="dxa"/>
          </w:tcPr>
          <w:p w14:paraId="5E5D9244" w14:textId="6F9426D0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3</w:t>
            </w:r>
            <w:r w:rsidR="00EF6423">
              <w:rPr>
                <w:rFonts w:ascii="Arial" w:hAnsi="Arial" w:cs="Arial"/>
                <w:sz w:val="24"/>
                <w:szCs w:val="24"/>
              </w:rPr>
              <w:t>2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14:paraId="46C113A5" w14:textId="5E08E52C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6</w:t>
            </w:r>
            <w:r w:rsidR="00EF6423">
              <w:rPr>
                <w:rFonts w:ascii="Arial" w:hAnsi="Arial" w:cs="Arial"/>
                <w:sz w:val="24"/>
                <w:szCs w:val="24"/>
              </w:rPr>
              <w:t>8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D7AF0" w:rsidRPr="00AD7AF0" w14:paraId="11346055" w14:textId="77777777" w:rsidTr="002A031C">
        <w:tc>
          <w:tcPr>
            <w:tcW w:w="3005" w:type="dxa"/>
          </w:tcPr>
          <w:p w14:paraId="3B9D6803" w14:textId="6192A1AB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Lower Middle Quartile</w:t>
            </w:r>
          </w:p>
        </w:tc>
        <w:tc>
          <w:tcPr>
            <w:tcW w:w="3005" w:type="dxa"/>
          </w:tcPr>
          <w:p w14:paraId="20AC0831" w14:textId="68715A07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3</w:t>
            </w:r>
            <w:r w:rsidR="00EF6423">
              <w:rPr>
                <w:rFonts w:ascii="Arial" w:hAnsi="Arial" w:cs="Arial"/>
                <w:sz w:val="24"/>
                <w:szCs w:val="24"/>
              </w:rPr>
              <w:t>6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14:paraId="02C3161F" w14:textId="1814878A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6</w:t>
            </w:r>
            <w:r w:rsidR="00EF6423">
              <w:rPr>
                <w:rFonts w:ascii="Arial" w:hAnsi="Arial" w:cs="Arial"/>
                <w:sz w:val="24"/>
                <w:szCs w:val="24"/>
              </w:rPr>
              <w:t>4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D7AF0" w:rsidRPr="00AD7AF0" w14:paraId="38606060" w14:textId="77777777" w:rsidTr="002A031C">
        <w:tc>
          <w:tcPr>
            <w:tcW w:w="3005" w:type="dxa"/>
          </w:tcPr>
          <w:p w14:paraId="05BC5A14" w14:textId="1E93AD12" w:rsidR="00AD7AF0" w:rsidRPr="00AD7AF0" w:rsidRDefault="00AD7AF0" w:rsidP="002A031C">
            <w:pPr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 xml:space="preserve">Lower Quartile </w:t>
            </w:r>
          </w:p>
        </w:tc>
        <w:tc>
          <w:tcPr>
            <w:tcW w:w="3005" w:type="dxa"/>
          </w:tcPr>
          <w:p w14:paraId="25D8723B" w14:textId="587DF996" w:rsidR="00AD7AF0" w:rsidRPr="00AD7AF0" w:rsidRDefault="00AD7AF0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7AF0">
              <w:rPr>
                <w:rFonts w:ascii="Arial" w:hAnsi="Arial" w:cs="Arial"/>
                <w:sz w:val="24"/>
                <w:szCs w:val="24"/>
              </w:rPr>
              <w:t>5</w:t>
            </w:r>
            <w:r w:rsidR="00EF6423">
              <w:rPr>
                <w:rFonts w:ascii="Arial" w:hAnsi="Arial" w:cs="Arial"/>
                <w:sz w:val="24"/>
                <w:szCs w:val="24"/>
              </w:rPr>
              <w:t>0</w:t>
            </w:r>
            <w:r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14:paraId="7BA3076A" w14:textId="1BBFF42E" w:rsidR="00AD7AF0" w:rsidRPr="00AD7AF0" w:rsidRDefault="00EF6423" w:rsidP="0035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D7AF0" w:rsidRPr="00AD7AF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414761B9" w14:textId="77777777" w:rsidR="00AD7AF0" w:rsidRPr="00AD7AF0" w:rsidRDefault="00AD7AF0">
      <w:pPr>
        <w:rPr>
          <w:rFonts w:ascii="Arial" w:hAnsi="Arial" w:cs="Arial"/>
          <w:sz w:val="24"/>
          <w:szCs w:val="24"/>
        </w:rPr>
      </w:pPr>
    </w:p>
    <w:p w14:paraId="5563E364" w14:textId="2AD407FF" w:rsidR="00AD7AF0" w:rsidRPr="00AD7AF0" w:rsidRDefault="00AD7AF0">
      <w:p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Notes:</w:t>
      </w:r>
    </w:p>
    <w:p w14:paraId="713DC52F" w14:textId="79799867" w:rsidR="00AD7AF0" w:rsidRPr="00AD7AF0" w:rsidRDefault="00AD7AF0" w:rsidP="00AD7A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 xml:space="preserve">The council does not operate a bonus scheme. </w:t>
      </w:r>
    </w:p>
    <w:p w14:paraId="54640B9D" w14:textId="7D2C18EF" w:rsidR="00AD7AF0" w:rsidRPr="00AD7AF0" w:rsidRDefault="00AD7AF0" w:rsidP="00AD7A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7AF0">
        <w:rPr>
          <w:rFonts w:ascii="Arial" w:hAnsi="Arial" w:cs="Arial"/>
          <w:sz w:val="24"/>
          <w:szCs w:val="24"/>
        </w:rPr>
        <w:t>On the snapshot date of 31 March 202</w:t>
      </w:r>
      <w:r w:rsidR="00EF6423">
        <w:rPr>
          <w:rFonts w:ascii="Arial" w:hAnsi="Arial" w:cs="Arial"/>
          <w:sz w:val="24"/>
          <w:szCs w:val="24"/>
        </w:rPr>
        <w:t>4</w:t>
      </w:r>
      <w:r w:rsidRPr="00AD7AF0">
        <w:rPr>
          <w:rFonts w:ascii="Arial" w:hAnsi="Arial" w:cs="Arial"/>
          <w:sz w:val="24"/>
          <w:szCs w:val="24"/>
        </w:rPr>
        <w:t xml:space="preserve">, </w:t>
      </w:r>
      <w:r w:rsidR="00EF6423">
        <w:rPr>
          <w:rFonts w:ascii="Arial" w:hAnsi="Arial" w:cs="Arial"/>
          <w:sz w:val="24"/>
          <w:szCs w:val="24"/>
        </w:rPr>
        <w:t>2,002</w:t>
      </w:r>
      <w:r w:rsidRPr="00AD7AF0">
        <w:rPr>
          <w:rFonts w:ascii="Arial" w:hAnsi="Arial" w:cs="Arial"/>
          <w:sz w:val="24"/>
          <w:szCs w:val="24"/>
        </w:rPr>
        <w:t xml:space="preserve"> people actively worked for the London Borough of Harrow. This figure does not include school employees. Of the </w:t>
      </w:r>
      <w:r w:rsidR="00EF6423">
        <w:rPr>
          <w:rFonts w:ascii="Arial" w:hAnsi="Arial" w:cs="Arial"/>
          <w:sz w:val="24"/>
          <w:szCs w:val="24"/>
        </w:rPr>
        <w:t xml:space="preserve">2,002 </w:t>
      </w:r>
      <w:r w:rsidRPr="00AD7AF0">
        <w:rPr>
          <w:rFonts w:ascii="Arial" w:hAnsi="Arial" w:cs="Arial"/>
          <w:sz w:val="24"/>
          <w:szCs w:val="24"/>
        </w:rPr>
        <w:t>people</w:t>
      </w:r>
      <w:r w:rsidR="00350E2F">
        <w:rPr>
          <w:rFonts w:ascii="Arial" w:hAnsi="Arial" w:cs="Arial"/>
          <w:sz w:val="24"/>
          <w:szCs w:val="24"/>
        </w:rPr>
        <w:t>, 1,218 (61%) were female,</w:t>
      </w:r>
      <w:r w:rsidRPr="00AD7AF0">
        <w:rPr>
          <w:rFonts w:ascii="Arial" w:hAnsi="Arial" w:cs="Arial"/>
          <w:sz w:val="24"/>
          <w:szCs w:val="24"/>
        </w:rPr>
        <w:t xml:space="preserve"> and </w:t>
      </w:r>
      <w:r w:rsidR="00EF6423">
        <w:rPr>
          <w:rFonts w:ascii="Arial" w:hAnsi="Arial" w:cs="Arial"/>
          <w:sz w:val="24"/>
          <w:szCs w:val="24"/>
        </w:rPr>
        <w:t>784</w:t>
      </w:r>
      <w:r w:rsidRPr="00AD7AF0">
        <w:rPr>
          <w:rFonts w:ascii="Arial" w:hAnsi="Arial" w:cs="Arial"/>
          <w:sz w:val="24"/>
          <w:szCs w:val="24"/>
        </w:rPr>
        <w:t xml:space="preserve"> (3</w:t>
      </w:r>
      <w:r w:rsidR="00EF6423">
        <w:rPr>
          <w:rFonts w:ascii="Arial" w:hAnsi="Arial" w:cs="Arial"/>
          <w:sz w:val="24"/>
          <w:szCs w:val="24"/>
        </w:rPr>
        <w:t>9</w:t>
      </w:r>
      <w:r w:rsidRPr="00AD7AF0">
        <w:rPr>
          <w:rFonts w:ascii="Arial" w:hAnsi="Arial" w:cs="Arial"/>
          <w:sz w:val="24"/>
          <w:szCs w:val="24"/>
        </w:rPr>
        <w:t xml:space="preserve">%) were male. </w:t>
      </w:r>
    </w:p>
    <w:sectPr w:rsidR="00AD7AF0" w:rsidRPr="00AD7A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59CA0" w14:textId="77777777" w:rsidR="00AD7AF0" w:rsidRDefault="00AD7AF0" w:rsidP="00AD7AF0">
      <w:pPr>
        <w:spacing w:after="0" w:line="240" w:lineRule="auto"/>
      </w:pPr>
      <w:r>
        <w:separator/>
      </w:r>
    </w:p>
  </w:endnote>
  <w:endnote w:type="continuationSeparator" w:id="0">
    <w:p w14:paraId="183B1769" w14:textId="77777777" w:rsidR="00AD7AF0" w:rsidRDefault="00AD7AF0" w:rsidP="00AD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327713"/>
      <w:docPartObj>
        <w:docPartGallery w:val="Page Numbers (Bottom of Page)"/>
        <w:docPartUnique/>
      </w:docPartObj>
    </w:sdtPr>
    <w:sdtEndPr/>
    <w:sdtContent>
      <w:p w14:paraId="3A859FD1" w14:textId="5C03B55F" w:rsidR="00AD7AF0" w:rsidRDefault="00AD7A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076C2" w14:textId="77777777" w:rsidR="00AD7AF0" w:rsidRDefault="00AD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6C41" w14:textId="77777777" w:rsidR="00AD7AF0" w:rsidRDefault="00AD7AF0" w:rsidP="00AD7AF0">
      <w:pPr>
        <w:spacing w:after="0" w:line="240" w:lineRule="auto"/>
      </w:pPr>
      <w:r>
        <w:separator/>
      </w:r>
    </w:p>
  </w:footnote>
  <w:footnote w:type="continuationSeparator" w:id="0">
    <w:p w14:paraId="6C44D385" w14:textId="77777777" w:rsidR="00AD7AF0" w:rsidRDefault="00AD7AF0" w:rsidP="00AD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096E"/>
    <w:multiLevelType w:val="hybridMultilevel"/>
    <w:tmpl w:val="5B5C4E0C"/>
    <w:lvl w:ilvl="0" w:tplc="A48278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6EBD"/>
    <w:multiLevelType w:val="hybridMultilevel"/>
    <w:tmpl w:val="168C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7A21"/>
    <w:multiLevelType w:val="hybridMultilevel"/>
    <w:tmpl w:val="B3FEB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33741">
    <w:abstractNumId w:val="1"/>
  </w:num>
  <w:num w:numId="2" w16cid:durableId="1269964576">
    <w:abstractNumId w:val="0"/>
  </w:num>
  <w:num w:numId="3" w16cid:durableId="177825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F0"/>
    <w:rsid w:val="00350E2F"/>
    <w:rsid w:val="004F7E81"/>
    <w:rsid w:val="00AD7AF0"/>
    <w:rsid w:val="00C044D8"/>
    <w:rsid w:val="00D704F8"/>
    <w:rsid w:val="00D80B4F"/>
    <w:rsid w:val="00E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36E5A"/>
  <w15:chartTrackingRefBased/>
  <w15:docId w15:val="{68132155-BB26-4F6D-A08F-F34268D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F0"/>
    <w:pPr>
      <w:ind w:left="720"/>
      <w:contextualSpacing/>
    </w:pPr>
  </w:style>
  <w:style w:type="table" w:styleId="TableGrid">
    <w:name w:val="Table Grid"/>
    <w:basedOn w:val="TableNormal"/>
    <w:uiPriority w:val="39"/>
    <w:rsid w:val="00A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F0"/>
  </w:style>
  <w:style w:type="paragraph" w:styleId="Footer">
    <w:name w:val="footer"/>
    <w:basedOn w:val="Normal"/>
    <w:link w:val="FooterChar"/>
    <w:uiPriority w:val="99"/>
    <w:unhideWhenUsed/>
    <w:rsid w:val="00AD7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847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Wilson</dc:creator>
  <cp:keywords/>
  <dc:description/>
  <cp:lastModifiedBy>Akhil Wilson</cp:lastModifiedBy>
  <cp:revision>3</cp:revision>
  <cp:lastPrinted>2024-03-25T16:34:00Z</cp:lastPrinted>
  <dcterms:created xsi:type="dcterms:W3CDTF">2024-11-28T14:22:00Z</dcterms:created>
  <dcterms:modified xsi:type="dcterms:W3CDTF">2024-11-28T14:26:00Z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5ac0f93d-a3ef-4676-91c4-14dd7a1518e6</vt:lpwstr>
  </property>
</Properties>
</file>